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2466"/>
        <w:gridCol w:w="6596"/>
      </w:tblGrid>
      <w:tr w:rsidR="00310CD7" w14:paraId="3B0197EB" w14:textId="77777777" w:rsidTr="00310CD7">
        <w:tc>
          <w:tcPr>
            <w:tcW w:w="2122" w:type="dxa"/>
            <w:vMerge w:val="restart"/>
          </w:tcPr>
          <w:p w14:paraId="3C6B5402" w14:textId="77777777" w:rsidR="00310CD7" w:rsidRDefault="00310CD7">
            <w:r>
              <w:rPr>
                <w:noProof/>
                <w:lang w:val="en-GB" w:eastAsia="en-GB"/>
              </w:rPr>
              <w:drawing>
                <wp:inline distT="0" distB="0" distL="0" distR="0" wp14:anchorId="7E3A11A2" wp14:editId="14C37508">
                  <wp:extent cx="1423283" cy="1423283"/>
                  <wp:effectExtent l="0" t="0" r="5715"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30095" cy="1430095"/>
                          </a:xfrm>
                          <a:prstGeom prst="rect">
                            <a:avLst/>
                          </a:prstGeom>
                          <a:noFill/>
                          <a:ln>
                            <a:noFill/>
                          </a:ln>
                        </pic:spPr>
                      </pic:pic>
                    </a:graphicData>
                  </a:graphic>
                </wp:inline>
              </w:drawing>
            </w:r>
          </w:p>
        </w:tc>
        <w:tc>
          <w:tcPr>
            <w:tcW w:w="6940" w:type="dxa"/>
          </w:tcPr>
          <w:p w14:paraId="7C82A504" w14:textId="77777777" w:rsidR="00310CD7" w:rsidRDefault="00310CD7">
            <w:r>
              <w:t>Hélène Rogue (2022-2025)</w:t>
            </w:r>
          </w:p>
        </w:tc>
      </w:tr>
      <w:tr w:rsidR="00310CD7" w14:paraId="21C3A4C6" w14:textId="77777777" w:rsidTr="00310CD7">
        <w:tc>
          <w:tcPr>
            <w:tcW w:w="2122" w:type="dxa"/>
            <w:vMerge/>
          </w:tcPr>
          <w:p w14:paraId="472DE9D0" w14:textId="77777777" w:rsidR="00310CD7" w:rsidRDefault="00310CD7"/>
        </w:tc>
        <w:tc>
          <w:tcPr>
            <w:tcW w:w="6940" w:type="dxa"/>
          </w:tcPr>
          <w:p w14:paraId="476FA96D" w14:textId="77777777" w:rsidR="00310CD7" w:rsidRDefault="00310CD7">
            <w:r>
              <w:t>Exposition des communautés microbiennes périphytiques et sédimentaires aux substances pharmaceutiques dans des petits cours d’eau et réponses adaptatives associées.</w:t>
            </w:r>
          </w:p>
        </w:tc>
      </w:tr>
      <w:tr w:rsidR="00310CD7" w14:paraId="3242EDFE" w14:textId="77777777" w:rsidTr="00310CD7">
        <w:tc>
          <w:tcPr>
            <w:tcW w:w="2122" w:type="dxa"/>
            <w:vMerge/>
          </w:tcPr>
          <w:p w14:paraId="6995022A" w14:textId="77777777" w:rsidR="00310CD7" w:rsidRDefault="00310CD7"/>
        </w:tc>
        <w:tc>
          <w:tcPr>
            <w:tcW w:w="6940" w:type="dxa"/>
          </w:tcPr>
          <w:p w14:paraId="1480F4FB" w14:textId="77777777" w:rsidR="00310CD7" w:rsidRDefault="00310CD7">
            <w:r>
              <w:t>Encadrants : Stéphane Pesce et Cécile Miège (UR RiverLy, équipes EMA et LAMA)</w:t>
            </w:r>
          </w:p>
        </w:tc>
      </w:tr>
      <w:tr w:rsidR="00310CD7" w14:paraId="0E6328DC" w14:textId="77777777" w:rsidTr="00310CD7">
        <w:tc>
          <w:tcPr>
            <w:tcW w:w="2122" w:type="dxa"/>
            <w:vMerge/>
          </w:tcPr>
          <w:p w14:paraId="4CB0F493" w14:textId="77777777" w:rsidR="00310CD7" w:rsidRDefault="00310CD7"/>
        </w:tc>
        <w:tc>
          <w:tcPr>
            <w:tcW w:w="6940" w:type="dxa"/>
          </w:tcPr>
          <w:p w14:paraId="3BA39A4C" w14:textId="77777777" w:rsidR="00310CD7" w:rsidRDefault="0031634D">
            <w:r>
              <w:t>Ecole doctorale E2M2 : Evolution Ecosystèmes Microbiologie Modélisation</w:t>
            </w:r>
          </w:p>
        </w:tc>
      </w:tr>
    </w:tbl>
    <w:p w14:paraId="19554ECB" w14:textId="77777777" w:rsidR="00310CD7" w:rsidRPr="00D04564" w:rsidRDefault="00EF16FC" w:rsidP="00D04564">
      <w:pPr>
        <w:spacing w:before="240" w:after="60"/>
        <w:rPr>
          <w:b/>
        </w:rPr>
      </w:pPr>
      <w:r w:rsidRPr="00D04564">
        <w:rPr>
          <w:b/>
        </w:rPr>
        <w:t>Résumé</w:t>
      </w:r>
    </w:p>
    <w:p w14:paraId="78BC6F00" w14:textId="2304C3EF" w:rsidR="00584733" w:rsidRDefault="007B2824" w:rsidP="003B652C">
      <w:pPr>
        <w:spacing w:after="60"/>
        <w:jc w:val="both"/>
      </w:pPr>
      <w:r>
        <w:t>L</w:t>
      </w:r>
      <w:r w:rsidR="000B0C71">
        <w:t>es sources d’entrée des substances pharmaceutiques dans les écosystèmes aquatiques</w:t>
      </w:r>
      <w:r>
        <w:t xml:space="preserve"> sont variées</w:t>
      </w:r>
      <w:r w:rsidR="000B0C71">
        <w:t xml:space="preserve">. Utilisées en médecine vétérinaire et animale, ces substances peuvent par exemple </w:t>
      </w:r>
      <w:r w:rsidR="001F32AE">
        <w:t xml:space="preserve">être directement rejetées par des stations d’épuration, qui ne parviennent pas à les </w:t>
      </w:r>
      <w:r w:rsidR="00A41459">
        <w:t>éliminer</w:t>
      </w:r>
      <w:r w:rsidR="001F32AE">
        <w:t xml:space="preserve">, ou </w:t>
      </w:r>
      <w:r w:rsidR="000B0C71">
        <w:t>ruisseler d’un champ amendé de lisiers contaminés vers un cours d’ea</w:t>
      </w:r>
      <w:r w:rsidR="001F32AE">
        <w:t>u</w:t>
      </w:r>
      <w:r w:rsidR="000B0C71">
        <w:t xml:space="preserve">. On observe ainsi depuis plusieurs années une contamination globale des rivières </w:t>
      </w:r>
      <w:r w:rsidR="00D922A4">
        <w:t xml:space="preserve">à l’échelle de </w:t>
      </w:r>
      <w:r w:rsidR="000B0C71">
        <w:t xml:space="preserve">la planète </w:t>
      </w:r>
      <w:r w:rsidR="000B0C71">
        <w:fldChar w:fldCharType="begin"/>
      </w:r>
      <w:r w:rsidR="001F32AE">
        <w:instrText xml:space="preserve"> ADDIN ZOTERO_ITEM CSL_CITATION {"citationID":"9PtFKsal","properties":{"formattedCitation":"\\super 1\\nosupersub{}","plainCitation":"1","noteIndex":0},"citationItems":[{"id":84,"uris":["http://zotero.org/users/7179648/items/FYVTJAMK"],"itemData":{"id":84,"type":"article-journal","abstract":"Environmental exposure to active pharmaceutical ingredients (APIs) can have negative effects on the health of ecosystems and humans. While numerous studies have monitored APIs in rivers, these employ different analytical methods, measure different APIs, and have ignored many of the countries of the world. This makes it difficult to quantify the scale of the problem from a global perspective. Furthermore, comparison of the existing data, generated for different studies/regions/continents, is challenging due to the vast differences between the analytical methodologies employed. Here, we present a global-scale study of API pollution in 258 of the world's rivers, representing the environmental influence of 471.4 million people across 137 geographic regions. Samples were obtained from 1,052 locations in 104 countries (representing all continents and 36 countries not previously studied for API contamination) and analyzed for 61 APIs. Highest cumulative API concentrations were observed in sub-Saharan Africa, south Asia, and South America. The most contaminated sites were in low- to middle-income countries and were associated with areas with poor wastewater and waste management infrastructure and pharmaceutical manufacturing. The most frequently detected APIs were carbamazepine, metformin, and caffeine (a compound also arising from lifestyle use), which were detected at over half of the sites monitored. Concentrations of at least one API at 25.7% of the sampling sites were greater than concentrations considered safe for aquatic organisms, or which are of concern in terms of selection for antimicrobial resistance. Therefore, pharmaceutical pollution poses a global threat to environmental and human health, as well as to delivery of the United Nations Sustainable Development Goals.","container-title":"Proceedings of the National Academy of Sciences of the United States of America","DOI":"10.1073/pnas.2113947119","ISSN":"1091-6490","issue":"8","journalAbbreviation":"Proc Natl Acad Sci U S A","language":"eng","note":"PMID: 35165193\nPMCID: PMC8872717","page":"e2113947119","source":"PubMed","title":"Pharmaceutical pollution of the world's rivers","volume":"119","author":[{"family":"Wilkinson","given":"John L."},{"family":"Boxall","given":"Alistair B. A."},{"family":"Kolpin","given":"Dana W."},{"family":"Leung","given":"Kenneth M. Y."},{"family":"Lai","given":"Racliffe W. S."},{"family":"Galbán-Malagón","given":"Cristóbal"},{"family":"Adell","given":"Aiko D."},{"family":"Mondon","given":"Julie"},{"family":"Metian","given":"Marc"},{"family":"Marchant","given":"Robert A."},{"family":"Bouzas-Monroy","given":"Alejandra"},{"family":"Cuni-Sanchez","given":"Aida"},{"family":"Coors","given":"Anja"},{"family":"Carriquiriborde","given":"Pedro"},{"family":"Rojo","given":"Macarena"},{"family":"Gordon","given":"Chris"},{"family":"Cara","given":"Magdalena"},{"family":"Moermond","given":"Monique"},{"family":"Luarte","given":"Thais"},{"family":"Petrosyan","given":"Vahagn"},{"family":"Perikhanyan","given":"Yekaterina"},{"family":"Mahon","given":"Clare S."},{"family":"McGurk","given":"Christopher J."},{"family":"Hofmann","given":"Thilo"},{"family":"Kormoker","given":"Tapos"},{"family":"Iniguez","given":"Volga"},{"family":"Guzman-Otazo","given":"Jessica"},{"family":"Tavares","given":"Jean L."},{"family":"Gildasio De Figueiredo","given":"Francisco"},{"family":"Razzolini","given":"Maria T. P."},{"family":"Dougnon","given":"Victorien"},{"family":"Gbaguidi","given":"Gildas"},{"family":"Traoré","given":"Oumar"},{"family":"Blais","given":"Jules M."},{"family":"Kimpe","given":"Linda E."},{"family":"Wong","given":"Michelle"},{"family":"Wong","given":"Donald"},{"family":"Ntchantcho","given":"Romaric"},{"family":"Pizarro","given":"Jaime"},{"family":"Ying","given":"Guang-Guo"},{"family":"Chen","given":"Chang-Er"},{"family":"Páez","given":"Martha"},{"family":"Martínez-Lara","given":"Jina"},{"family":"Otamonga","given":"Jean-Paul"},{"family":"Poté","given":"John"},{"family":"Ifo","given":"Suspense A."},{"family":"Wilson","given":"Penelope"},{"family":"Echeverría-Sáenz","given":"Silvia"},{"family":"Udikovic-Kolic","given":"Nikolina"},{"family":"Milakovic","given":"Milena"},{"family":"Fatta-Kassinos","given":"Despo"},{"family":"Ioannou-Ttofa","given":"Lida"},{"family":"Belušová","given":"Vladimíra"},{"family":"Vymazal","given":"Jan"},{"family":"Cárdenas-Bustamante","given":"María"},{"family":"Kassa","given":"Bayable A."},{"family":"Garric","given":"Jeanne"},{"family":"Chaumot","given":"Arnaud"},{"family":"Gibba","given":"Peter"},{"family":"Kunchulia","given":"Ilia"},{"family":"Seidensticker","given":"Sven"},{"family":"Lyberatos","given":"Gerasimos"},{"family":"Halldórsson","given":"Halldór P."},{"family":"Melling","given":"Molly"},{"family":"Shashidhar","given":"Thatikonda"},{"family":"Lamba","given":"Manisha"},{"family":"Nastiti","given":"Anindrya"},{"family":"Supriatin","given":"Adee"},{"family":"Pourang","given":"Nima"},{"family":"Abedini","given":"Ali"},{"family":"Abdullah","given":"Omar"},{"family":"Gharbia","given":"Salem S."},{"family":"Pilla","given":"Francesco"},{"family":"Chefetz","given":"Benny"},{"family":"Topaz","given":"Tom"},{"family":"Yao","given":"Koffi Marcellin"},{"family":"Aubakirova","given":"Bakhyt"},{"family":"Beisenova","given":"Raikhan"},{"family":"Olaka","given":"Lydia"},{"family":"Mulu","given":"Jemimah K."},{"family":"Chatanga","given":"Peter"},{"family":"Ntuli","given":"Victor"},{"family":"Blama","given":"Nathaniel T."},{"family":"Sherif","given":"Sheck"},{"family":"Aris","given":"Ahmad Zaharin"},{"family":"Looi","given":"Ley Juen"},{"family":"Niang","given":"Mahamoudane"},{"family":"Traore","given":"Seydou T."},{"family":"Oldenkamp","given":"Rik"},{"family":"Ogunbanwo","given":"Olatayo"},{"family":"Ashfaq","given":"Muhammad"},{"family":"Iqbal","given":"Muhammad"},{"family":"Abdeen","given":"Ziad"},{"family":"O'Dea","given":"Aaron"},{"family":"Morales-Saldaña","given":"Jorge Manuel"},{"family":"Custodio","given":"María"},{"family":"Cruz","given":"Heidi","non-dropping-particle":"de la"},{"family":"Navarrete","given":"Ian"},{"family":"Carvalho","given":"Fabio"},{"family":"Gogra","given":"Alhaji Brima"},{"family":"Koroma","given":"Bashiru M."},{"family":"Cerkvenik-Flajs","given":"Vesna"},{"family":"Gombač","given":"Mitja"},{"family":"Thwala","given":"Melusi"},{"family":"Choi","given":"Kyungho"},{"family":"Kang","given":"Habyeong"},{"family":"Ladu","given":"John L. Celestino"},{"family":"Rico","given":"Andreu"},{"family":"Amerasinghe","given":"Priyanie"},{"family":"Sobek","given":"Anna"},{"family":"Horlitz","given":"Gisela"},{"family":"Zenker","given":"Armin K."},{"family":"King","given":"Alex C."},{"family":"Jiang","given":"Jheng-Jie"},{"family":"Kariuki","given":"Rebecca"},{"family":"Tumbo","given":"Madaka"},{"family":"Tezel","given":"Ulas"},{"family":"Onay","given":"Turgut T."},{"family":"Lejju","given":"Julius B."},{"family":"Vystavna","given":"Yuliya"},{"family":"Vergeles","given":"Yuriy"},{"family":"Heinzen","given":"Horacio"},{"family":"Pérez-Parada","given":"Andrés"},{"family":"Sims","given":"Douglas B."},{"family":"Figy","given":"Maritza"},{"family":"Good","given":"David"},{"family":"Teta","given":"Charles"}],"issued":{"date-parts":[["2022",2,22]]}}}],"schema":"https://github.com/citation-style-language/schema/raw/master/csl-citation.json"} </w:instrText>
      </w:r>
      <w:r w:rsidR="000B0C71">
        <w:fldChar w:fldCharType="separate"/>
      </w:r>
      <w:r w:rsidR="001F32AE" w:rsidRPr="001F32AE">
        <w:rPr>
          <w:rFonts w:ascii="Calibri" w:hAnsi="Calibri" w:cs="Calibri"/>
          <w:szCs w:val="24"/>
          <w:vertAlign w:val="superscript"/>
        </w:rPr>
        <w:t>1</w:t>
      </w:r>
      <w:r w:rsidR="000B0C71">
        <w:fldChar w:fldCharType="end"/>
      </w:r>
      <w:r w:rsidR="00D922A4">
        <w:t>. Ce</w:t>
      </w:r>
      <w:r w:rsidR="00F2696D">
        <w:t xml:space="preserve">tte </w:t>
      </w:r>
      <w:r w:rsidR="0042249F">
        <w:t xml:space="preserve">exposition </w:t>
      </w:r>
      <w:r>
        <w:t xml:space="preserve">généralisée </w:t>
      </w:r>
      <w:r w:rsidR="0042249F">
        <w:t>des organismes aquatiques</w:t>
      </w:r>
      <w:r w:rsidR="00D922A4">
        <w:t xml:space="preserve"> engendre des risques d’impacts écotoxicologiques</w:t>
      </w:r>
      <w:r w:rsidR="0042249F">
        <w:t>.</w:t>
      </w:r>
    </w:p>
    <w:p w14:paraId="6FFB481C" w14:textId="6588DEB8" w:rsidR="0042249F" w:rsidRDefault="0042249F" w:rsidP="003B652C">
      <w:pPr>
        <w:spacing w:after="60"/>
        <w:jc w:val="both"/>
      </w:pPr>
      <w:r>
        <w:t xml:space="preserve">Parmi les organismes susceptibles d’être impactés, les biofilms sont des communautés de microorganismes assemblés </w:t>
      </w:r>
      <w:r w:rsidR="00D922A4">
        <w:t>au sein d’</w:t>
      </w:r>
      <w:r>
        <w:t>une matrice extracellulaire</w:t>
      </w:r>
      <w:r w:rsidR="00D922A4">
        <w:t>. Ces biofilms sont présents dans tous les milieux aquatiques. Dans les cours d’eau, ils se développent</w:t>
      </w:r>
      <w:r>
        <w:t xml:space="preserve"> dans le sédiment (biofilms sédimentaires) </w:t>
      </w:r>
      <w:r w:rsidR="0011777B">
        <w:t xml:space="preserve">ou </w:t>
      </w:r>
      <w:r w:rsidR="00D922A4">
        <w:t>à la surface</w:t>
      </w:r>
      <w:r w:rsidR="0011777B">
        <w:t xml:space="preserve"> des </w:t>
      </w:r>
      <w:r w:rsidR="00D922A4">
        <w:t xml:space="preserve">différents </w:t>
      </w:r>
      <w:r w:rsidR="0011777B">
        <w:t>substrats immergés (biofilms périphytiques)</w:t>
      </w:r>
      <w:r>
        <w:t xml:space="preserve">. </w:t>
      </w:r>
      <w:r w:rsidR="00D922A4">
        <w:t xml:space="preserve">Les </w:t>
      </w:r>
      <w:r>
        <w:t xml:space="preserve">communautés microbiennes </w:t>
      </w:r>
      <w:r w:rsidR="00D922A4">
        <w:t xml:space="preserve">qui composent les biofilms </w:t>
      </w:r>
      <w:r>
        <w:t>jouent un rôle prépondérant da</w:t>
      </w:r>
      <w:r w:rsidR="0011777B">
        <w:t>n</w:t>
      </w:r>
      <w:r>
        <w:t>s</w:t>
      </w:r>
      <w:r w:rsidR="0011777B">
        <w:t xml:space="preserve"> les écosystèmes en prenant part notamment à la minéralisation de la matière organique</w:t>
      </w:r>
      <w:r w:rsidR="00D922A4">
        <w:t xml:space="preserve"> et </w:t>
      </w:r>
      <w:r w:rsidR="0011777B">
        <w:t>à la production de matière primaire et secondaire mobilisable par les niveaux trophiques supérieurs, en stabilisant les sédiments</w:t>
      </w:r>
      <w:r w:rsidR="00D922A4">
        <w:t>, ou encore</w:t>
      </w:r>
      <w:r w:rsidR="0011777B">
        <w:t xml:space="preserve"> en biodégradant certains contaminants</w:t>
      </w:r>
      <w:r w:rsidR="00F70B41">
        <w:t xml:space="preserve"> </w:t>
      </w:r>
      <w:r w:rsidR="00F70B41">
        <w:fldChar w:fldCharType="begin"/>
      </w:r>
      <w:r w:rsidR="001F32AE">
        <w:instrText xml:space="preserve"> ADDIN ZOTERO_ITEM CSL_CITATION {"citationID":"3kD3HhAU","properties":{"formattedCitation":"\\super 2,3\\nosupersub{}","plainCitation":"2,3","noteIndex":0},"citationItems":[{"id":97,"uris":["http://zotero.org/users/7179648/items/BPEUKJNK"],"itemData":{"id":97,"type":"article-journal","abstract":"Multi-species, surface-attached biofilms often dominate microbial life in streams and rivers, where they contribute substantially to biogeochemical processes. The microbial diversity of natural biofilms is huge, and may have important implications for the functioning of aquatic environments and the ecosystem services they provide. Yet the causes and consequences of biofilm biodiversity remain insufficiently understood. This review aims to give an overview of current knowledge on the distribution of stream biofilm biodiversity, the mechanisms generating biodiversity patterns and the relationship between biofilm biodiversity and ecosystem functioning.","collection-title":"Special issue on Microbial diversity, adaptation and evolution","container-title":"Research in Microbiology","DOI":"10.1016/j.resmic.2015.05.006","ISSN":"0923-2508","issue":"10","journalAbbreviation":"Research in Microbiology","language":"en","page":"774-781","source":"ScienceDirect","title":"Biodiversity, community structure and function of biofilms in stream ecosystems","volume":"166","author":[{"family":"Besemer","given":"Katharina"}],"issued":{"date-parts":[["2015",12,1]]}}},{"id":587,"uris":["http://zotero.org/users/7179648/items/XSG3FGQA"],"itemData":{"id":587,"type":"chapter","abstract":"In freshwater environments, microbial assemblages attached to submerged substrates play an essential role in ecosystem processes such as primary production, supported by periphyton, or organic matter decomposition, supported by microbial communities attached to leaf litter or sediments. These microbial assemblages, also called biofilms, are not only involved in nutrients fluxes but also in contaminants dynamics. Biofilms can accumulate metals and organic contaminants transported by the water flow and/or adsorbed onto substrates. Furthermore, due to their high metabolic activity and their role in aquatic food webs, microbial biofilms are also likely to influence contaminant fate in aquatic ecosystems. In this review, we provide (1) a critical overview of the analytical methods currently in use for detecting and quantifying metals and organic micropollutants in microbial biofilms attached to benthic substrata (rocks, sediments, leaf litter); (2) a review of the distribution of those contaminants within aquatic biofilms and the role of these benthic microbial communities in contaminant fate; (3) a set of future challenges concerning the role of biofilms in contaminant accumulation and trophic transfers in the aquatic food web. This literature review highlighted that most knowledge on the interaction between biofilm and contaminants is focused on contaminants dynamics in periphyton while technical limitations are still preventing a thorough estimation of contaminants accumulation in biofilms attached to leaf litter or sediments. In addition, microbial biofilms represent an important food resource in freshwater ecosystems, yet their role in dietary contaminant exposure has been neglected for a long time, and the importance of biofilms in trophic transfer of contaminants is still understudied.","collection-title":"Reviews of Environmental Contamination and Toxicology","container-title":"Reviews of Environmental Contamination and Toxicology Volume 253","event-place":"Cham","ISBN":"978-3-030-52541-5","language":"en","note":"DOI: 10.1007/398_2019_39","page":"115-153","publisher":"Springer International Publishing","publisher-place":"Cham","source":"Springer Link","title":"Role of Biofilms in Contaminant Bioaccumulation and Trophic Transfer in Aquatic Ecosystems: Current State of Knowledge and Future Challenges","title-short":"Role of Biofilms in Contaminant Bioaccumulation and Trophic Transfer in Aquatic Ecosystems","URL":"https://doi.org/10.1007/398_2019_39","author":[{"family":"Bonnineau","given":"Chloé"},{"family":"Artigas","given":"Joan"},{"family":"Chaumet","given":"Betty"},{"family":"Dabrin","given":"Aymeric"},{"family":"Faburé","given":"Juliette"},{"family":"Ferrari","given":"Benoît J. D."},{"family":"Lebrun","given":"Jérémie D."},{"family":"Margoum","given":"Christelle"},{"family":"Mazzella","given":"Nicolas"},{"family":"Miège","given":"Cécile"},{"family":"Morin","given":"Soizic"},{"family":"Uher","given":"Emmanuelle"},{"family":"Babut","given":"Marc"},{"family":"Pesce","given":"Stéphane"}],"editor":[{"family":"Voogt","given":"Pim","non-dropping-particle":"de"}],"accessed":{"date-parts":[["2022",9,30]]},"issued":{"date-parts":[["2021"]]}}}],"schema":"https://github.com/citation-style-language/schema/raw/master/csl-citation.json"} </w:instrText>
      </w:r>
      <w:r w:rsidR="00F70B41">
        <w:fldChar w:fldCharType="separate"/>
      </w:r>
      <w:r w:rsidR="001F32AE" w:rsidRPr="001F32AE">
        <w:rPr>
          <w:rFonts w:ascii="Calibri" w:hAnsi="Calibri" w:cs="Calibri"/>
          <w:szCs w:val="24"/>
          <w:vertAlign w:val="superscript"/>
        </w:rPr>
        <w:t>2,3</w:t>
      </w:r>
      <w:r w:rsidR="00F70B41">
        <w:fldChar w:fldCharType="end"/>
      </w:r>
      <w:r w:rsidR="0011777B">
        <w:t>.</w:t>
      </w:r>
    </w:p>
    <w:p w14:paraId="160A56C8" w14:textId="08DD6100" w:rsidR="0011777B" w:rsidRDefault="0011777B" w:rsidP="003B652C">
      <w:pPr>
        <w:spacing w:after="60"/>
        <w:jc w:val="both"/>
      </w:pPr>
      <w:r>
        <w:t xml:space="preserve">L’exposition des </w:t>
      </w:r>
      <w:r w:rsidR="00D922A4">
        <w:t>biofilms</w:t>
      </w:r>
      <w:r>
        <w:t xml:space="preserve"> aux substances pharmaceutiques peut induire un impact sur ces communautés. Des études suggèrent notamment des </w:t>
      </w:r>
      <w:r w:rsidR="00F70B41">
        <w:t>effets</w:t>
      </w:r>
      <w:r>
        <w:t xml:space="preserve"> sur </w:t>
      </w:r>
      <w:r w:rsidR="00D922A4">
        <w:t xml:space="preserve">leur </w:t>
      </w:r>
      <w:r>
        <w:t xml:space="preserve">structure et </w:t>
      </w:r>
      <w:r w:rsidR="00D922A4">
        <w:t xml:space="preserve">leur </w:t>
      </w:r>
      <w:r>
        <w:t xml:space="preserve">diversité </w:t>
      </w:r>
      <w:r w:rsidR="00D922A4">
        <w:t>ainsi qu’</w:t>
      </w:r>
      <w:r w:rsidR="00F70B41">
        <w:t xml:space="preserve">une perturbation de leurs activités intra ou extracellulaires </w:t>
      </w:r>
      <w:r w:rsidR="00F70B41">
        <w:fldChar w:fldCharType="begin"/>
      </w:r>
      <w:r w:rsidR="000D4614">
        <w:instrText xml:space="preserve"> ADDIN ZOTERO_ITEM CSL_CITATION {"citationID":"d8O9vm40","properties":{"formattedCitation":"\\super 4\\uc0\\u8211{}8\\nosupersub{}","plainCitation":"4–8","noteIndex":0},"citationItems":[{"id":827,"uris":["http://zotero.org/users/7179648/items/JPWZCBK3"],"itemData":{"id":827,"type":"article-journal","abstract":"Wastewater treatment plants (WWTPs) play an important role in retaining organic matter and nutrients but to a lesser extent micropollutants. Therefore, treated wastewater is recognized as a major source of multiple stressors, including complex mixtures of micropollutants. These can potentially affect microbial communities in the receiving water bodies and the ecological functions they provide. In this study, we evaluated in flow-through channels the consequences of an exposure to a mixture of stream water and different percentages of urban WWTP effluent, ranging from 0% to 80%, on the microbial diversity and function of periphyton communities. Assuming that micropollutants exert a selective pressure for tolerant microorganisms within communities, we further examined the periphyton sensitivity to a micropollutant mixture extracted from passive samplers that were immersed in the wastewater effluent. As well, micropollutants in water and in periphyton were comprehensively quantified. Our results show that micropollutants detected in periphyton differed from those found in water, both in term of concentration and composition. Especially photosystem II inhibitors accumulated in periphyton more than other pesticides. Although effects of other substances cannot be excluded, this accumulation may have contributed to the observed higher tolerance of phototrophic communities to micropollutants upon exposure to 30% and 80% of wastewater. On the contrary, no difference in tolerance was observed for heterotrophic communities. Exposure to the gradient of wastewater led to structural differences in both prokaryotic and eukaryotic communities. For instance, the relative abundance of cyanobacteria was higher with increasing percentage of wastewater effluent, whereas the opposite was observed for diatoms. Such results could indicate that differences in community structure do not necessarily lead to higher tolerance. This highlights the need to consider other wastewater constituents such as nutrients and wastewater-derived microorganisms that can modulate community structure and tolerance. By using engineered flow-through channels that mimic to some extent the required field conditions for the development of tolerance in periphyton, our study constitutes a base to investigate the mechanisms underlying the increased tolerance, such as the potential role of microorganisms originating from wastewater effluents, and different treatment options to reduce the micropollutant load in effluents.","container-title":"Water Research","DOI":"10.1016/j.watres.2021.117486","ISSN":"0043-1354","journalAbbreviation":"Water Research","language":"en","page":"117486","source":"ScienceDirect","title":"Impact of wastewater on the microbial diversity of periphyton and its tolerance to micropollutants in an engineered flow-through channel system","volume":"203","author":[{"family":"Carles","given":"Louis"},{"family":"Wullschleger","given":"Simon"},{"family":"Joss","given":"Adriano"},{"family":"Eggen","given":"Rik I. L."},{"family":"Schirmer","given":"Kristin"},{"family":"Schuwirth","given":"Nele"},{"family":"Stamm","given":"Christian"},{"family":"Tlili","given":"Ahmed"}],"issued":{"date-parts":[["2021",9,15]]}}},{"id":942,"uris":["http://zotero.org/users/7179648/items/IXB7KBJC"],"itemData":{"id":942,"type":"article-journal","abstract":"We assessed the tolerance acquired by stream biofilms to two non-steroidal anti-inflammatory-drugs (NSAIDs), ibuprofen and diclofenac. Biofilms came from a stream system receiving the effluent of a wastewater treatment plant (WWTP). The response of biofilms from a non-polluted site (upstream the WWTP) was compared to that of others downstream with relevant and decreasing levels of NSAIDs. Experiments performed in the laboratory following the pollution-induced community tolerance (PICT) approach determined that both algae and microbial communities from biofilms of the sites exposed at the highest concentrations of ibuprofen and diclofenac acquired tolerance to the mixture of these NSAIDs occurring at the sites. It was also observed that the chronic pollution by the WWTP effluent affected the microbial metabolic profile, as well as the structure of the algal community. The low (at ngL−1 level) but chronic inputs of pharmaceuticals to the river ecosystem result in tolerant communities of lower diversity and altered microbial metabolism.","container-title":"Chemosphere","DOI":"10.1016/j.chemosphere.2014.03.128","ISSN":"0045-6535","journalAbbreviation":"Chemosphere","page":"185-193","source":"ScienceDirect","title":"Pollution-induced community tolerance to non-steroidal anti-inflammatory drugs (NSAIDs) in fluvial biofilm communities affected by WWTP effluents","volume":"112","author":[{"family":"Corcoll","given":"Natàlia"},{"family":"Acuña","given":"Vicenç"},{"family":"Barceló","given":"Damià"},{"family":"Casellas","given":"Maria"},{"family":"Guasch","given":"Helena"},{"family":"Huerta","given":"Belinda"},{"family":"Petrovic","given":"Mira"},{"family":"Ponsatí","given":"Lidia"},{"family":"Rodríguez-Mozaz","given":"Sara"},{"family":"Sabater","given":"Sergi"}],"issued":{"date-parts":[["2014",10,1]]}}},{"id":50,"uris":["http://zotero.org/users/7179648/items/DQTJ6VXK"],"itemData":{"id":50,"type":"article-journal","abstract":"Since the early 1920s, the intensive use of antibiotics has led to the contamination of the aquatic environment through diffuse sources and wastewater effluents. The antibiotics commonly found in surface waters include sulfamethoxazole (SMX) and sulfamethazine (SMZ), which belong to the class of sulfonamides, the oldest antibiotic class still in use. These antibiotics have been detected in all European surface waters with median concentrations of around 50 ng L–1 and peak concentrations of up to 4–6 μg L–1. Sulfonamides are known to inhibit bacterial growth by altering microbial production of folic acid, but sub-lethal doses may trigger antimicrobial resistance, with unknown consequences for exposed microbial communities. We investigated the effects of two environmentally relevant concentrations (500 and 5,000 ng L–1) of SMZ and SMX on microbial activity and structure of periphytic biofilms in stream mesocosms for 28 days. Measurement of sulfonamides in the mesocosms revealed contamination levels of about half the nominal concentrations. Exposure to sulfonamides led to slight, transitory effects on heterotrophic functions, but persistent effects were observed on the bacterial structure. After 4 weeks of exposure, sulfonamides also altered the autotrophs in periphyton and particularly the diversity, viability and cell integrity of the diatom community. The higher concentration of SMX tested decreased both diversity (Shannon index) and evenness of the diatom community. Exposure to SMZ reduced diatom species richness and diversity. The mortality of diatoms in biofilms exposed to sulfonamides was twice that in non-exposed biofilms. SMZ also induced an increase in diatom teratologies from 1.1% in non-exposed biofilms up to 3% in biofilms exposed to SMZ. To our knowledge, this is the first report on the teratological effects of sulfonamides on diatoms within periphyton. The increase of both diatom growth rate and mortality suggests a high renewal of diatoms under sulfonamide exposure. In conclusion, our study shows that sulfonamides can alter microbial community structures and diversity at concentrations currently present in the environment, with unknown consequences for the ecosystem. The experimental set-up presented here emphasizes the interest of using natural communities to increase the ecological realism of ecotoxicological studies and to detect potential toxic effects on non-target species.","container-title":"Frontiers in Microbiology","DOI":"10.3389/fmicb.2021.643719","ISSN":"1664-302X","journalAbbreviation":"Front Microbiol","note":"PMID: 34025605\nPMCID: PMC8137839","page":"643719","source":"PubMed Central","title":"Environmental Concentrations of Sulfonamides Can Alter Bacterial Structure and Induce Diatom Deformities in Freshwater Biofilm Communities","volume":"12","author":[{"family":"Kergoat","given":"Laura"},{"family":"Besse-Hoggan","given":"Pascale"},{"family":"Leremboure","given":"Martin"},{"family":"Beguet","given":"Jérémie"},{"family":"Devers","given":"Marion"},{"family":"Martin-Laurent","given":"Fabrice"},{"family":"Masson","given":"Matthieu"},{"family":"Morin","given":"Soizic"},{"family":"Roinat","given":"Amélie"},{"family":"Pesce","given":"Stéphane"},{"family":"Bonnineau","given":"Chloé"}],"issued":{"date-parts":[["2021",5,7]]}}},{"id":916,"uris":["http://zotero.org/users/7179648/items/K9764P5E"],"itemData":{"id":916,"type":"article-journal","abstract":"Pharmaceutical and personal care products are ubiquitous in surface waters but their effects on aquatic biofilms and associated ecosystem properties are not well understood. We measured in situ responses of stream biofilms to six common pharmaceutical compounds (caffeine, cimetidine, ciprofloxacin, diphenhydramine, metformin, ranitidine, and a mixture of each) by deploying pharmaceutical-diffusing substrates in streams in Indiana, Maryland, and New York. Results were consistent across seasons and geographic locations. On average, algal biomass was suppressed by 22%, 4%, 22%, and 18% relative to controls by caffeine, ciprofloxacin, diphenhydramine, and the mixed treatment, respectively. Biofilm respiration was significantly suppressed by caffeine (53%), cimetidine (51%), ciprofloxacin (91%), diphenhydramine (63%), and the mixed treatment (40%). In autumn in New York, photosynthesis was also significantly suppressed by diphenhydramine (99%) and the mixed treatment (88%). Pyrosequencing of 16S rRNA genes was used to examine the effects of caffeine and diphenhydramine on biofilm bacterial community composition at the three sites. Relative to the controls, diphenhydramine exposure significantly altered bacterial community composition and resulted in significant relative increases in Pseudomonas sp. and decreases in Flavobacterium sp. in all three streams. These ubiquitous pharmaceuticals, alone or in combination, influenced stream biofilms, which could have consequences for higher trophic levels and important ecosystem processes.","container-title":"Ecological Applications: A Publication of the Ecological Society of America","DOI":"10.1890/12-0491.1","ISSN":"1051-0761","issue":"3","journalAbbreviation":"Ecol Appl","language":"eng","note":"PMID: 23734487","page":"583-593","source":"PubMed","title":"Pharmaceuticals suppress algal growth and microbial respiration and alter bacterial communities in stream biofilms","volume":"23","author":[{"family":"Rosi-Marshall","given":"Emma J."},{"family":"Kincaid","given":"Dustin W."},{"family":"Bechtold","given":"Heather A."},{"family":"Royer","given":"Todd V."},{"family":"Rojas","given":"Miguel"},{"family":"Kelly","given":"John J."}],"issued":{"date-parts":[["2013",4]]}}},{"id":1005,"uris":["http://zotero.org/users/7179648/items/4EZ4QV7Q"],"itemData":{"id":1005,"type":"article-journal","abstract":"Micropollutants are ubiquitously found in natural surface waters and pose a potential risk to aquatic organisms. Stream biofilms, consisting of bacteria, algae and other microorganisms potentially contribute to bioremediating aquatic environments by biotransforming xenobiotic substances. When investigating the potential of stream biofilms to remove micropollutants from the water column, it is important to distinguish between different fate processes, such as biotransformation, passive sorption and active bioaccumulation. However, due to the complex nature of the biofilm community and its extracellular matrix, this task is often difficult. In this study, we combined biotransformation experiments involving natural stream biofilms collected up- and downstream of wastewater treatment plant outfalls with the QuEChERS extraction method to distinguish between the different fate processes. The QuEChERS extraction proved to be a suitable method for a broad range of micropollutants (&gt; 80% of the investigated compounds). We found that 31 out of 63 compounds were biotransformed by the biofilms, with the majority being substitution-type biotransformations, and that downstream biofilms have an increased biotransformation potential towards specific wastewater-relevant micropollutants. Overall, using the experimental and analytical strategy developed, stream biofilms were demonstrated to have a broad inherent micropollutant biotransformation potential, and to thus contribute to bioremediation and improving ecosystem health.","container-title":"Water Research","DOI":"10.1016/j.watres.2021.116846","ISSN":"0043-1354","journalAbbreviation":"Water Research","page":"116846","source":"ScienceDirect","title":"Micropollutant biotransformation and bioaccumulation in natural stream biofilms","volume":"193","author":[{"family":"Desiante","given":"Werner L."},{"family":"Minas","given":"Nora S."},{"family":"Fenner","given":"Kathrin"}],"issued":{"date-parts":[["2021",4,1]]}}}],"schema":"https://github.com/citation-style-language/schema/raw/master/csl-citation.json"} </w:instrText>
      </w:r>
      <w:r w:rsidR="00F70B41">
        <w:fldChar w:fldCharType="separate"/>
      </w:r>
      <w:r w:rsidR="000D4614" w:rsidRPr="000D4614">
        <w:rPr>
          <w:rFonts w:ascii="Calibri" w:hAnsi="Calibri" w:cs="Calibri"/>
          <w:szCs w:val="24"/>
          <w:vertAlign w:val="superscript"/>
        </w:rPr>
        <w:t>4–8</w:t>
      </w:r>
      <w:r w:rsidR="00F70B41">
        <w:fldChar w:fldCharType="end"/>
      </w:r>
      <w:r w:rsidR="00F70B41">
        <w:t xml:space="preserve">. Selon le concept </w:t>
      </w:r>
      <w:r w:rsidR="001168D6">
        <w:t>de tolérance induite par l’exposition aux toxiques (‘</w:t>
      </w:r>
      <w:r w:rsidR="001168D6" w:rsidRPr="001F32AE">
        <w:rPr>
          <w:i/>
        </w:rPr>
        <w:t>pollution induced community tolerance</w:t>
      </w:r>
      <w:r w:rsidR="001168D6">
        <w:t xml:space="preserve">’, </w:t>
      </w:r>
      <w:r w:rsidR="00F70B41">
        <w:t>PICT</w:t>
      </w:r>
      <w:r w:rsidR="001168D6">
        <w:t>)</w:t>
      </w:r>
      <w:r w:rsidR="00F70B41">
        <w:t xml:space="preserve">, </w:t>
      </w:r>
      <w:r w:rsidR="001168D6">
        <w:t xml:space="preserve">ce type d’exposition chimique peut également exercer </w:t>
      </w:r>
      <w:r w:rsidR="00F70B41">
        <w:t xml:space="preserve">une pression susceptible de sélectionner </w:t>
      </w:r>
      <w:r w:rsidR="001168D6">
        <w:t>les microorganismes les plus tolérants</w:t>
      </w:r>
      <w:r w:rsidR="00F70B41">
        <w:t>,</w:t>
      </w:r>
      <w:r w:rsidR="001168D6">
        <w:t xml:space="preserve"> induisant ainsi</w:t>
      </w:r>
      <w:r w:rsidR="00F70B41">
        <w:t xml:space="preserve"> une augmentation de la tolérance de la communauté</w:t>
      </w:r>
      <w:r w:rsidR="001168D6">
        <w:t xml:space="preserve"> dans son ensemble à la toxicité de ces substances</w:t>
      </w:r>
      <w:r w:rsidR="00F70B41">
        <w:t xml:space="preserve"> </w:t>
      </w:r>
      <w:r w:rsidR="00F70B41">
        <w:fldChar w:fldCharType="begin"/>
      </w:r>
      <w:r w:rsidR="001F32AE">
        <w:instrText xml:space="preserve"> ADDIN ZOTERO_ITEM CSL_CITATION {"citationID":"FTQaFNPA","properties":{"formattedCitation":"\\super 9\\nosupersub{}","plainCitation":"9","noteIndex":0},"citationItems":[{"id":74,"uris":["http://zotero.org/users/7179648/items/3DQ7E9N4"],"itemData":{"id":74,"type":"article-journal","abstract":"A major challenge in environmental risk assessment of pollutants is establishing a causal relationship between field exposure and community effects that integrates both structural and functional complexity within ecosystems. Pollution-induced community tolerance (PICT) is a concept that evaluates whether pollutants have exerted a selection pressure on natural communities. PICT detects whether a pollutant has eliminated sensitive species from a community and thereby increased its tolerance. PICT has the potential to link assessments of the ecological and chemical status of ecosystems by providing causal analysis for effect-based monitoring of impacted field sites. Using PICT measurements and microbial community endpoints in environmental assessment schemes could give more ecological relevance to the tools that are now used in environmental risk assessment. Here, we propose practical guidance and a list of research issues that should be further considered to apply the PICT concept in the field.","container-title":"Freshwater Biology","DOI":"10.1111/fwb.12558","ISSN":"1365-2427","issue":"12","language":"en","note":"_eprint: https://onlinelibrary.wiley.com/doi/pdf/10.1111/fwb.12558","page":"2141-2151","source":"Wiley Online Library","title":"Pollution-induced community tolerance (PICT): towards an ecologically relevant risk assessment of chemicals in aquatic systems","title-short":"Pollution-induced community tolerance (PICT)","volume":"61","author":[{"family":"Tlili","given":"Ahmed"},{"family":"Berard","given":"Annette"},{"family":"Blanck","given":"Hans"},{"family":"Bouchez","given":"Agnes"},{"family":"Cássio","given":"Fernanda"},{"family":"Eriksson","given":"Karl Martin"},{"family":"Morin","given":"Soizic"},{"family":"Montuelle","given":"Bernard"},{"family":"Navarro","given":"Enrique"},{"family":"Pascoal","given":"Cláudia"},{"family":"Pesce","given":"Stephane"},{"family":"Schmitt-Jansen","given":"Mechthild"},{"family":"Behra","given":"Renata"}],"issued":{"date-parts":[["2016"]]}}}],"schema":"https://github.com/citation-style-language/schema/raw/master/csl-citation.json"} </w:instrText>
      </w:r>
      <w:r w:rsidR="00F70B41">
        <w:fldChar w:fldCharType="separate"/>
      </w:r>
      <w:r w:rsidR="001F32AE" w:rsidRPr="001F32AE">
        <w:rPr>
          <w:rFonts w:ascii="Calibri" w:hAnsi="Calibri" w:cs="Calibri"/>
          <w:szCs w:val="24"/>
          <w:vertAlign w:val="superscript"/>
        </w:rPr>
        <w:t>9</w:t>
      </w:r>
      <w:r w:rsidR="00F70B41">
        <w:fldChar w:fldCharType="end"/>
      </w:r>
      <w:r w:rsidR="00F70B41">
        <w:t>.</w:t>
      </w:r>
      <w:r w:rsidR="005B31ED">
        <w:t xml:space="preserve"> Cependant</w:t>
      </w:r>
      <w:r w:rsidR="00F2696D">
        <w:t>,</w:t>
      </w:r>
      <w:r w:rsidR="005B31ED">
        <w:t xml:space="preserve"> les liens entre les niveaux d’exposition des </w:t>
      </w:r>
      <w:r w:rsidR="001168D6">
        <w:t xml:space="preserve">biofilms </w:t>
      </w:r>
      <w:r w:rsidR="005B31ED">
        <w:t xml:space="preserve">aux substances pharmaceutiques et </w:t>
      </w:r>
      <w:r w:rsidR="001168D6">
        <w:t>les mécanismes d’adaptation</w:t>
      </w:r>
      <w:r w:rsidR="007A56DC">
        <w:t xml:space="preserve"> </w:t>
      </w:r>
      <w:r w:rsidR="005B31ED">
        <w:t xml:space="preserve">des communautés microbiennes </w:t>
      </w:r>
      <w:r w:rsidR="001168D6">
        <w:t>qui en résultent sont encore largement méconnus à ce jour</w:t>
      </w:r>
      <w:r w:rsidR="005B31ED">
        <w:t>.</w:t>
      </w:r>
    </w:p>
    <w:p w14:paraId="25AFECD5" w14:textId="5BDC13DB" w:rsidR="005B31ED" w:rsidRDefault="005B31ED" w:rsidP="003B652C">
      <w:pPr>
        <w:spacing w:after="60"/>
        <w:jc w:val="both"/>
      </w:pPr>
      <w:r>
        <w:t xml:space="preserve">Dans le cadre de ma thèse, je cherche </w:t>
      </w:r>
      <w:r w:rsidR="001168D6">
        <w:t xml:space="preserve">donc </w:t>
      </w:r>
      <w:r>
        <w:t xml:space="preserve">à </w:t>
      </w:r>
      <w:r w:rsidR="001168D6">
        <w:t xml:space="preserve">mieux </w:t>
      </w:r>
      <w:r>
        <w:t xml:space="preserve">caractériser </w:t>
      </w:r>
      <w:r w:rsidR="001168D6">
        <w:t>c</w:t>
      </w:r>
      <w:r>
        <w:t xml:space="preserve">es </w:t>
      </w:r>
      <w:r w:rsidR="007A56DC">
        <w:t xml:space="preserve">liens </w:t>
      </w:r>
      <w:r w:rsidR="001168D6">
        <w:t>en m’intéressant</w:t>
      </w:r>
      <w:r w:rsidR="007A56DC">
        <w:t xml:space="preserve"> plus particulièrement à </w:t>
      </w:r>
      <w:r w:rsidR="001168D6">
        <w:t xml:space="preserve">l’impact de différents niveaux d’exposition à des substances pharmaceutiques sur la structure, la diversité et les </w:t>
      </w:r>
      <w:r w:rsidR="007A56DC">
        <w:t>activités</w:t>
      </w:r>
      <w:r w:rsidR="001168D6">
        <w:t xml:space="preserve"> des communautés</w:t>
      </w:r>
      <w:r w:rsidR="007A56DC">
        <w:t xml:space="preserve"> microbiennes</w:t>
      </w:r>
      <w:r w:rsidR="001168D6">
        <w:t xml:space="preserve"> périphytiques et sédimentaires</w:t>
      </w:r>
      <w:r w:rsidR="007A56DC">
        <w:t xml:space="preserve">, </w:t>
      </w:r>
      <w:r w:rsidR="001168D6">
        <w:t>ainsi que sur l’évolution de leur capacité de tolérance à ces substances</w:t>
      </w:r>
      <w:r w:rsidR="007A56DC">
        <w:t>.</w:t>
      </w:r>
    </w:p>
    <w:p w14:paraId="691D675E" w14:textId="4E98BDD2" w:rsidR="007A56DC" w:rsidRDefault="007A56DC" w:rsidP="003B652C">
      <w:pPr>
        <w:spacing w:after="60"/>
        <w:jc w:val="both"/>
      </w:pPr>
      <w:r>
        <w:t>Pour cela, je m’appuie</w:t>
      </w:r>
      <w:r w:rsidR="00D21B37">
        <w:t>,</w:t>
      </w:r>
      <w:r>
        <w:t xml:space="preserve"> </w:t>
      </w:r>
      <w:r w:rsidR="00D21B37">
        <w:t xml:space="preserve">d’une part, </w:t>
      </w:r>
      <w:r>
        <w:t xml:space="preserve">sur une expérience réalisée </w:t>
      </w:r>
      <w:r>
        <w:rPr>
          <w:i/>
        </w:rPr>
        <w:t>in situ</w:t>
      </w:r>
      <w:r>
        <w:t xml:space="preserve"> </w:t>
      </w:r>
      <w:r w:rsidR="00D21B37">
        <w:t xml:space="preserve">dans </w:t>
      </w:r>
      <w:r>
        <w:t xml:space="preserve">une rivière contaminée </w:t>
      </w:r>
      <w:r w:rsidR="00D21B37">
        <w:t xml:space="preserve">(Tillet, Savoie) </w:t>
      </w:r>
      <w:r>
        <w:t>afin d’étudier les variations de tolérance de communautés périphytiques à d</w:t>
      </w:r>
      <w:r w:rsidR="00D21B37">
        <w:t>ifférent</w:t>
      </w:r>
      <w:r>
        <w:t>es substances pharmaceutiques</w:t>
      </w:r>
      <w:r w:rsidR="00D21B37">
        <w:t>,</w:t>
      </w:r>
      <w:r>
        <w:t xml:space="preserve"> en </w:t>
      </w:r>
      <w:r w:rsidR="00D21B37">
        <w:t>fonction</w:t>
      </w:r>
      <w:r>
        <w:t xml:space="preserve"> des</w:t>
      </w:r>
      <w:r w:rsidR="00D21B37">
        <w:t xml:space="preserve"> variations des</w:t>
      </w:r>
      <w:r>
        <w:t xml:space="preserve"> niveaux d’exposition</w:t>
      </w:r>
      <w:r w:rsidR="00D21B37">
        <w:t xml:space="preserve"> dans un contexte environnemental complexe (Fig. 1)</w:t>
      </w:r>
      <w:r>
        <w:t>. Je me base également sur des expériences en canaux en laboratoire afin de contrôler les con</w:t>
      </w:r>
      <w:r w:rsidR="00BF5F17">
        <w:t xml:space="preserve">centrations et la durée d’exposition de communautés sédimentaires et périphytiques à </w:t>
      </w:r>
      <w:r w:rsidR="00D21B37">
        <w:t xml:space="preserve">trois </w:t>
      </w:r>
      <w:r w:rsidR="00BF5F17">
        <w:t>substances pharmaceutiques</w:t>
      </w:r>
      <w:r w:rsidR="00D21B37">
        <w:t xml:space="preserve"> modèles</w:t>
      </w:r>
      <w:r w:rsidR="00BF5F17">
        <w:t xml:space="preserve">, afin de mieux comprendre les liens entre </w:t>
      </w:r>
      <w:r w:rsidR="00D21B37">
        <w:t xml:space="preserve">les </w:t>
      </w:r>
      <w:r w:rsidR="00BF5F17">
        <w:t xml:space="preserve">niveaux d’exposition </w:t>
      </w:r>
      <w:r w:rsidR="00D21B37">
        <w:t xml:space="preserve">testés </w:t>
      </w:r>
      <w:r w:rsidR="00BF5F17">
        <w:t xml:space="preserve">et les </w:t>
      </w:r>
      <w:r w:rsidR="00D21B37">
        <w:t>réponses microbiennes observées (Fig. 2)</w:t>
      </w:r>
      <w:r w:rsidR="00BF5F17">
        <w:t>.</w:t>
      </w:r>
    </w:p>
    <w:p w14:paraId="0A48A591" w14:textId="1270CC3D" w:rsidR="0077088A" w:rsidRDefault="00D21B37" w:rsidP="0077088A">
      <w:pPr>
        <w:pStyle w:val="Lgende"/>
        <w:rPr>
          <w:noProof/>
        </w:rPr>
      </w:pPr>
      <w:r w:rsidRPr="0077088A">
        <w:rPr>
          <w:noProof/>
          <w:lang w:val="en-GB" w:eastAsia="en-GB"/>
        </w:rPr>
        <w:lastRenderedPageBreak/>
        <w:drawing>
          <wp:anchor distT="0" distB="0" distL="114300" distR="114300" simplePos="0" relativeHeight="251658240" behindDoc="0" locked="0" layoutInCell="1" allowOverlap="1" wp14:anchorId="38782DEA" wp14:editId="773CB2D9">
            <wp:simplePos x="0" y="0"/>
            <wp:positionH relativeFrom="margin">
              <wp:posOffset>-15875</wp:posOffset>
            </wp:positionH>
            <wp:positionV relativeFrom="paragraph">
              <wp:posOffset>10795</wp:posOffset>
            </wp:positionV>
            <wp:extent cx="2636520" cy="1485265"/>
            <wp:effectExtent l="0" t="0" r="0" b="635"/>
            <wp:wrapSquare wrapText="bothSides"/>
            <wp:docPr id="8" name="Image 7">
              <a:extLst xmlns:a="http://schemas.openxmlformats.org/drawingml/2006/main">
                <a:ext uri="{FF2B5EF4-FFF2-40B4-BE49-F238E27FC236}">
                  <a16:creationId xmlns:a16="http://schemas.microsoft.com/office/drawing/2014/main" id="{578F7856-06F7-4CAA-1085-9CF9BF3C85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578F7856-06F7-4CAA-1085-9CF9BF3C850D}"/>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10987" t="12193" r="10192" b="21203"/>
                    <a:stretch/>
                  </pic:blipFill>
                  <pic:spPr>
                    <a:xfrm>
                      <a:off x="0" y="0"/>
                      <a:ext cx="2636520" cy="1485265"/>
                    </a:xfrm>
                    <a:prstGeom prst="rect">
                      <a:avLst/>
                    </a:prstGeom>
                  </pic:spPr>
                </pic:pic>
              </a:graphicData>
            </a:graphic>
            <wp14:sizeRelH relativeFrom="margin">
              <wp14:pctWidth>0</wp14:pctWidth>
            </wp14:sizeRelH>
            <wp14:sizeRelV relativeFrom="margin">
              <wp14:pctHeight>0</wp14:pctHeight>
            </wp14:sizeRelV>
          </wp:anchor>
        </w:drawing>
      </w:r>
      <w:r w:rsidR="0077088A">
        <w:t xml:space="preserve">Figure </w:t>
      </w:r>
      <w:r w:rsidR="00A73B07">
        <w:fldChar w:fldCharType="begin"/>
      </w:r>
      <w:r w:rsidR="00A73B07">
        <w:instrText xml:space="preserve"> SEQ Figure \* ARABIC </w:instrText>
      </w:r>
      <w:r w:rsidR="00A73B07">
        <w:fldChar w:fldCharType="separate"/>
      </w:r>
      <w:r w:rsidR="0077088A">
        <w:rPr>
          <w:noProof/>
        </w:rPr>
        <w:t>1</w:t>
      </w:r>
      <w:r w:rsidR="00A73B07">
        <w:rPr>
          <w:noProof/>
        </w:rPr>
        <w:fldChar w:fldCharType="end"/>
      </w:r>
      <w:r w:rsidR="0077088A">
        <w:t xml:space="preserve"> </w:t>
      </w:r>
      <w:r>
        <w:t>Cagettes contenant les lames immergées dans le Tillet (Savoie) pour permettre la colonisation et la croissance du biofilm périphytique lors de l’expérience in situ</w:t>
      </w:r>
    </w:p>
    <w:p w14:paraId="20046BBE" w14:textId="77777777" w:rsidR="0077088A" w:rsidRDefault="0077088A" w:rsidP="0077088A">
      <w:pPr>
        <w:keepNext/>
      </w:pPr>
    </w:p>
    <w:p w14:paraId="4BD3316D" w14:textId="77777777" w:rsidR="00D21B37" w:rsidRDefault="0096318B" w:rsidP="00D04564">
      <w:pPr>
        <w:pStyle w:val="Lgende"/>
        <w:spacing w:after="0"/>
      </w:pPr>
      <w:r>
        <w:rPr>
          <w:noProof/>
          <w:lang w:val="en-GB" w:eastAsia="en-GB"/>
        </w:rPr>
        <w:drawing>
          <wp:inline distT="0" distB="0" distL="0" distR="0" wp14:anchorId="6B138282" wp14:editId="0C5D644F">
            <wp:extent cx="5070953" cy="16668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961" b="3266"/>
                    <a:stretch/>
                  </pic:blipFill>
                  <pic:spPr bwMode="auto">
                    <a:xfrm>
                      <a:off x="0" y="0"/>
                      <a:ext cx="5079538" cy="1669697"/>
                    </a:xfrm>
                    <a:prstGeom prst="rect">
                      <a:avLst/>
                    </a:prstGeom>
                    <a:noFill/>
                    <a:ln>
                      <a:noFill/>
                    </a:ln>
                    <a:extLst>
                      <a:ext uri="{53640926-AAD7-44D8-BBD7-CCE9431645EC}">
                        <a14:shadowObscured xmlns:a14="http://schemas.microsoft.com/office/drawing/2010/main"/>
                      </a:ext>
                    </a:extLst>
                  </pic:spPr>
                </pic:pic>
              </a:graphicData>
            </a:graphic>
          </wp:inline>
        </w:drawing>
      </w:r>
    </w:p>
    <w:p w14:paraId="001C0488" w14:textId="2FDEE0D1" w:rsidR="00D21B37" w:rsidRDefault="00D21B37" w:rsidP="00D04564">
      <w:pPr>
        <w:pStyle w:val="Lgende"/>
        <w:spacing w:after="0"/>
        <w:rPr>
          <w:noProof/>
        </w:rPr>
      </w:pPr>
      <w:r>
        <w:t>Figure 2 :</w:t>
      </w:r>
      <w:r w:rsidR="0096318B">
        <w:t xml:space="preserve"> (A) Dispositifs expérimentaux (canaux de laboratoire) utilisés pour réaliser des expériences en conditions contrôlées : </w:t>
      </w:r>
      <w:bookmarkStart w:id="0" w:name="_GoBack"/>
      <w:bookmarkEnd w:id="0"/>
      <w:r w:rsidR="0096318B">
        <w:t>(B) exposition des communautés sédimentaires et (C) exposition des communautés périphytiques</w:t>
      </w:r>
    </w:p>
    <w:p w14:paraId="4DE69864" w14:textId="77777777" w:rsidR="0096318B" w:rsidRDefault="0096318B" w:rsidP="0096318B">
      <w:pPr>
        <w:spacing w:after="0"/>
      </w:pPr>
    </w:p>
    <w:p w14:paraId="22711D02" w14:textId="77777777" w:rsidR="0096318B" w:rsidRDefault="00A2676E" w:rsidP="0096318B">
      <w:pPr>
        <w:spacing w:after="0"/>
      </w:pPr>
      <w:r w:rsidRPr="00D04564">
        <w:rPr>
          <w:b/>
        </w:rPr>
        <w:t>Financement</w:t>
      </w:r>
      <w:r w:rsidR="0096318B" w:rsidRPr="00D04564">
        <w:rPr>
          <w:b/>
        </w:rPr>
        <w:t> :</w:t>
      </w:r>
      <w:r w:rsidR="0096318B">
        <w:t xml:space="preserve"> </w:t>
      </w:r>
      <w:r w:rsidR="0096318B">
        <w:tab/>
      </w:r>
      <w:r w:rsidR="0096318B">
        <w:tab/>
        <w:t>-       salaire :</w:t>
      </w:r>
      <w:r>
        <w:t xml:space="preserve"> 100 % </w:t>
      </w:r>
      <w:r w:rsidR="0096318B">
        <w:t>INRAE (</w:t>
      </w:r>
      <w:r>
        <w:t>département AQUA</w:t>
      </w:r>
      <w:r w:rsidR="0096318B">
        <w:t xml:space="preserve"> + DG)</w:t>
      </w:r>
    </w:p>
    <w:p w14:paraId="68728E12" w14:textId="77777777" w:rsidR="00851A20" w:rsidRDefault="0096318B" w:rsidP="0096318B">
      <w:pPr>
        <w:pStyle w:val="Paragraphedeliste"/>
        <w:numPr>
          <w:ilvl w:val="0"/>
          <w:numId w:val="2"/>
        </w:numPr>
        <w:spacing w:after="0"/>
      </w:pPr>
      <w:r>
        <w:t xml:space="preserve"> Fonctionnement : projet ANSES PharmOneHealth (</w:t>
      </w:r>
      <w:r w:rsidRPr="0096318B">
        <w:t>ANSES-22-EST-066</w:t>
      </w:r>
      <w:r>
        <w:t>)</w:t>
      </w:r>
    </w:p>
    <w:p w14:paraId="0DC13929" w14:textId="77777777" w:rsidR="0096318B" w:rsidRDefault="0096318B"/>
    <w:p w14:paraId="48BA8D98" w14:textId="77777777" w:rsidR="00A2676E" w:rsidRPr="000D4614" w:rsidRDefault="00A2676E">
      <w:pPr>
        <w:rPr>
          <w:b/>
        </w:rPr>
      </w:pPr>
      <w:r w:rsidRPr="000D4614">
        <w:rPr>
          <w:b/>
        </w:rPr>
        <w:t>Références</w:t>
      </w:r>
    </w:p>
    <w:p w14:paraId="1AA2CD5B" w14:textId="77777777" w:rsidR="000D4614" w:rsidRPr="000D4614" w:rsidRDefault="00A2676E" w:rsidP="000D4614">
      <w:pPr>
        <w:pStyle w:val="Bibliographie"/>
        <w:spacing w:line="240" w:lineRule="auto"/>
        <w:rPr>
          <w:rFonts w:ascii="Calibri" w:hAnsi="Calibri" w:cs="Calibri"/>
          <w:lang w:val="en-GB"/>
        </w:rPr>
      </w:pPr>
      <w:r>
        <w:fldChar w:fldCharType="begin"/>
      </w:r>
      <w:r w:rsidR="001F32AE" w:rsidRPr="001F32AE">
        <w:instrText xml:space="preserve"> ADDIN ZOTERO_BIBL {"uncited":[],"omitted":[],"custom":[]} CSL_BIBLIOGRAPHY </w:instrText>
      </w:r>
      <w:r>
        <w:fldChar w:fldCharType="separate"/>
      </w:r>
      <w:r w:rsidR="000D4614" w:rsidRPr="000D4614">
        <w:rPr>
          <w:rFonts w:ascii="Calibri" w:hAnsi="Calibri" w:cs="Calibri"/>
        </w:rPr>
        <w:t>1.</w:t>
      </w:r>
      <w:r w:rsidR="000D4614" w:rsidRPr="000D4614">
        <w:rPr>
          <w:rFonts w:ascii="Calibri" w:hAnsi="Calibri" w:cs="Calibri"/>
        </w:rPr>
        <w:tab/>
        <w:t xml:space="preserve">Wilkinson, J. L. </w:t>
      </w:r>
      <w:r w:rsidR="000D4614" w:rsidRPr="000D4614">
        <w:rPr>
          <w:rFonts w:ascii="Calibri" w:hAnsi="Calibri" w:cs="Calibri"/>
          <w:i/>
          <w:iCs/>
        </w:rPr>
        <w:t>et al.</w:t>
      </w:r>
      <w:r w:rsidR="000D4614" w:rsidRPr="000D4614">
        <w:rPr>
          <w:rFonts w:ascii="Calibri" w:hAnsi="Calibri" w:cs="Calibri"/>
        </w:rPr>
        <w:t xml:space="preserve"> </w:t>
      </w:r>
      <w:r w:rsidR="000D4614" w:rsidRPr="000D4614">
        <w:rPr>
          <w:rFonts w:ascii="Calibri" w:hAnsi="Calibri" w:cs="Calibri"/>
          <w:lang w:val="en-GB"/>
        </w:rPr>
        <w:t xml:space="preserve">Pharmaceutical pollution of the world’s rivers. </w:t>
      </w:r>
      <w:r w:rsidR="000D4614" w:rsidRPr="000D4614">
        <w:rPr>
          <w:rFonts w:ascii="Calibri" w:hAnsi="Calibri" w:cs="Calibri"/>
          <w:i/>
          <w:iCs/>
          <w:lang w:val="en-GB"/>
        </w:rPr>
        <w:t>Proc. Natl. Acad. Sci. U. S. A.</w:t>
      </w:r>
      <w:r w:rsidR="000D4614" w:rsidRPr="000D4614">
        <w:rPr>
          <w:rFonts w:ascii="Calibri" w:hAnsi="Calibri" w:cs="Calibri"/>
          <w:lang w:val="en-GB"/>
        </w:rPr>
        <w:t xml:space="preserve"> </w:t>
      </w:r>
      <w:r w:rsidR="000D4614" w:rsidRPr="000D4614">
        <w:rPr>
          <w:rFonts w:ascii="Calibri" w:hAnsi="Calibri" w:cs="Calibri"/>
          <w:b/>
          <w:bCs/>
          <w:lang w:val="en-GB"/>
        </w:rPr>
        <w:t>119</w:t>
      </w:r>
      <w:r w:rsidR="000D4614" w:rsidRPr="000D4614">
        <w:rPr>
          <w:rFonts w:ascii="Calibri" w:hAnsi="Calibri" w:cs="Calibri"/>
          <w:lang w:val="en-GB"/>
        </w:rPr>
        <w:t>, e2113947119 (2022).</w:t>
      </w:r>
    </w:p>
    <w:p w14:paraId="72ACE1F7" w14:textId="77777777" w:rsidR="000D4614" w:rsidRPr="000D4614" w:rsidRDefault="000D4614" w:rsidP="000D4614">
      <w:pPr>
        <w:pStyle w:val="Bibliographie"/>
        <w:spacing w:line="240" w:lineRule="auto"/>
        <w:rPr>
          <w:rFonts w:ascii="Calibri" w:hAnsi="Calibri" w:cs="Calibri"/>
          <w:lang w:val="en-GB"/>
        </w:rPr>
      </w:pPr>
      <w:r w:rsidRPr="000D4614">
        <w:rPr>
          <w:rFonts w:ascii="Calibri" w:hAnsi="Calibri" w:cs="Calibri"/>
          <w:lang w:val="en-GB"/>
        </w:rPr>
        <w:t>2.</w:t>
      </w:r>
      <w:r w:rsidRPr="000D4614">
        <w:rPr>
          <w:rFonts w:ascii="Calibri" w:hAnsi="Calibri" w:cs="Calibri"/>
          <w:lang w:val="en-GB"/>
        </w:rPr>
        <w:tab/>
        <w:t xml:space="preserve">Besemer, K. Biodiversity, community structure and function of biofilms in stream ecosystems. </w:t>
      </w:r>
      <w:r w:rsidRPr="000D4614">
        <w:rPr>
          <w:rFonts w:ascii="Calibri" w:hAnsi="Calibri" w:cs="Calibri"/>
          <w:i/>
          <w:iCs/>
          <w:lang w:val="en-GB"/>
        </w:rPr>
        <w:t>Res. Microbiol.</w:t>
      </w:r>
      <w:r w:rsidRPr="000D4614">
        <w:rPr>
          <w:rFonts w:ascii="Calibri" w:hAnsi="Calibri" w:cs="Calibri"/>
          <w:lang w:val="en-GB"/>
        </w:rPr>
        <w:t xml:space="preserve"> </w:t>
      </w:r>
      <w:r w:rsidRPr="000D4614">
        <w:rPr>
          <w:rFonts w:ascii="Calibri" w:hAnsi="Calibri" w:cs="Calibri"/>
          <w:b/>
          <w:bCs/>
          <w:lang w:val="en-GB"/>
        </w:rPr>
        <w:t>166</w:t>
      </w:r>
      <w:r w:rsidRPr="000D4614">
        <w:rPr>
          <w:rFonts w:ascii="Calibri" w:hAnsi="Calibri" w:cs="Calibri"/>
          <w:lang w:val="en-GB"/>
        </w:rPr>
        <w:t>, 774–781 (2015).</w:t>
      </w:r>
    </w:p>
    <w:p w14:paraId="6D65ACA0" w14:textId="77777777" w:rsidR="000D4614" w:rsidRPr="000D4614" w:rsidRDefault="000D4614" w:rsidP="000D4614">
      <w:pPr>
        <w:pStyle w:val="Bibliographie"/>
        <w:spacing w:line="240" w:lineRule="auto"/>
        <w:rPr>
          <w:rFonts w:ascii="Calibri" w:hAnsi="Calibri" w:cs="Calibri"/>
          <w:lang w:val="en-GB"/>
        </w:rPr>
      </w:pPr>
      <w:r w:rsidRPr="000D4614">
        <w:rPr>
          <w:rFonts w:ascii="Calibri" w:hAnsi="Calibri" w:cs="Calibri"/>
          <w:lang w:val="en-GB"/>
        </w:rPr>
        <w:t>3.</w:t>
      </w:r>
      <w:r w:rsidRPr="000D4614">
        <w:rPr>
          <w:rFonts w:ascii="Calibri" w:hAnsi="Calibri" w:cs="Calibri"/>
          <w:lang w:val="en-GB"/>
        </w:rPr>
        <w:tab/>
        <w:t xml:space="preserve">Bonnineau, C. </w:t>
      </w:r>
      <w:r w:rsidRPr="000D4614">
        <w:rPr>
          <w:rFonts w:ascii="Calibri" w:hAnsi="Calibri" w:cs="Calibri"/>
          <w:i/>
          <w:iCs/>
          <w:lang w:val="en-GB"/>
        </w:rPr>
        <w:t>et al.</w:t>
      </w:r>
      <w:r w:rsidRPr="000D4614">
        <w:rPr>
          <w:rFonts w:ascii="Calibri" w:hAnsi="Calibri" w:cs="Calibri"/>
          <w:lang w:val="en-GB"/>
        </w:rPr>
        <w:t xml:space="preserve"> Role of Biofilms in Contaminant Bioaccumulation and Trophic Transfer in Aquatic Ecosystems: Current State of Knowledge and Future Challenges. in </w:t>
      </w:r>
      <w:r w:rsidRPr="000D4614">
        <w:rPr>
          <w:rFonts w:ascii="Calibri" w:hAnsi="Calibri" w:cs="Calibri"/>
          <w:i/>
          <w:iCs/>
          <w:lang w:val="en-GB"/>
        </w:rPr>
        <w:t>Reviews of Environmental Contamination and Toxicology Volume 253</w:t>
      </w:r>
      <w:r w:rsidRPr="000D4614">
        <w:rPr>
          <w:rFonts w:ascii="Calibri" w:hAnsi="Calibri" w:cs="Calibri"/>
          <w:lang w:val="en-GB"/>
        </w:rPr>
        <w:t xml:space="preserve"> (ed. de Voogt, P.) 115–153 (Springer International Publishing, 2021). doi:10.1007/398_2019_39.</w:t>
      </w:r>
    </w:p>
    <w:p w14:paraId="709C658A" w14:textId="77777777" w:rsidR="000D4614" w:rsidRPr="000D4614" w:rsidRDefault="000D4614" w:rsidP="000D4614">
      <w:pPr>
        <w:pStyle w:val="Bibliographie"/>
        <w:spacing w:line="240" w:lineRule="auto"/>
        <w:rPr>
          <w:rFonts w:ascii="Calibri" w:hAnsi="Calibri" w:cs="Calibri"/>
          <w:lang w:val="en-GB"/>
        </w:rPr>
      </w:pPr>
      <w:r w:rsidRPr="000D4614">
        <w:rPr>
          <w:rFonts w:ascii="Calibri" w:hAnsi="Calibri" w:cs="Calibri"/>
          <w:lang w:val="en-GB"/>
        </w:rPr>
        <w:t>4.</w:t>
      </w:r>
      <w:r w:rsidRPr="000D4614">
        <w:rPr>
          <w:rFonts w:ascii="Calibri" w:hAnsi="Calibri" w:cs="Calibri"/>
          <w:lang w:val="en-GB"/>
        </w:rPr>
        <w:tab/>
        <w:t xml:space="preserve">Carles, L. </w:t>
      </w:r>
      <w:r w:rsidRPr="000D4614">
        <w:rPr>
          <w:rFonts w:ascii="Calibri" w:hAnsi="Calibri" w:cs="Calibri"/>
          <w:i/>
          <w:iCs/>
          <w:lang w:val="en-GB"/>
        </w:rPr>
        <w:t>et al.</w:t>
      </w:r>
      <w:r w:rsidRPr="000D4614">
        <w:rPr>
          <w:rFonts w:ascii="Calibri" w:hAnsi="Calibri" w:cs="Calibri"/>
          <w:lang w:val="en-GB"/>
        </w:rPr>
        <w:t xml:space="preserve"> Impact of wastewater on the microbial diversity of periphyton and its tolerance to micropollutants in an engineered flow-through channel system. </w:t>
      </w:r>
      <w:r w:rsidRPr="000D4614">
        <w:rPr>
          <w:rFonts w:ascii="Calibri" w:hAnsi="Calibri" w:cs="Calibri"/>
          <w:i/>
          <w:iCs/>
          <w:lang w:val="en-GB"/>
        </w:rPr>
        <w:t>Water Res.</w:t>
      </w:r>
      <w:r w:rsidRPr="000D4614">
        <w:rPr>
          <w:rFonts w:ascii="Calibri" w:hAnsi="Calibri" w:cs="Calibri"/>
          <w:lang w:val="en-GB"/>
        </w:rPr>
        <w:t xml:space="preserve"> </w:t>
      </w:r>
      <w:r w:rsidRPr="000D4614">
        <w:rPr>
          <w:rFonts w:ascii="Calibri" w:hAnsi="Calibri" w:cs="Calibri"/>
          <w:b/>
          <w:bCs/>
          <w:lang w:val="en-GB"/>
        </w:rPr>
        <w:t>203</w:t>
      </w:r>
      <w:r w:rsidRPr="000D4614">
        <w:rPr>
          <w:rFonts w:ascii="Calibri" w:hAnsi="Calibri" w:cs="Calibri"/>
          <w:lang w:val="en-GB"/>
        </w:rPr>
        <w:t>, 117486 (2021).</w:t>
      </w:r>
    </w:p>
    <w:p w14:paraId="3AF0633B" w14:textId="77777777" w:rsidR="000D4614" w:rsidRPr="000D4614" w:rsidRDefault="000D4614" w:rsidP="000D4614">
      <w:pPr>
        <w:pStyle w:val="Bibliographie"/>
        <w:spacing w:line="240" w:lineRule="auto"/>
        <w:rPr>
          <w:rFonts w:ascii="Calibri" w:hAnsi="Calibri" w:cs="Calibri"/>
          <w:lang w:val="en-GB"/>
        </w:rPr>
      </w:pPr>
      <w:r w:rsidRPr="000D4614">
        <w:rPr>
          <w:rFonts w:ascii="Calibri" w:hAnsi="Calibri" w:cs="Calibri"/>
          <w:lang w:val="en-GB"/>
        </w:rPr>
        <w:t>5.</w:t>
      </w:r>
      <w:r w:rsidRPr="000D4614">
        <w:rPr>
          <w:rFonts w:ascii="Calibri" w:hAnsi="Calibri" w:cs="Calibri"/>
          <w:lang w:val="en-GB"/>
        </w:rPr>
        <w:tab/>
        <w:t xml:space="preserve">Corcoll, N. </w:t>
      </w:r>
      <w:r w:rsidRPr="000D4614">
        <w:rPr>
          <w:rFonts w:ascii="Calibri" w:hAnsi="Calibri" w:cs="Calibri"/>
          <w:i/>
          <w:iCs/>
          <w:lang w:val="en-GB"/>
        </w:rPr>
        <w:t>et al.</w:t>
      </w:r>
      <w:r w:rsidRPr="000D4614">
        <w:rPr>
          <w:rFonts w:ascii="Calibri" w:hAnsi="Calibri" w:cs="Calibri"/>
          <w:lang w:val="en-GB"/>
        </w:rPr>
        <w:t xml:space="preserve"> Pollution-induced community tolerance to non-steroidal anti-inflammatory drugs (NSAIDs) in fluvial biofilm communities affected by WWTP effluents. </w:t>
      </w:r>
      <w:r w:rsidRPr="000D4614">
        <w:rPr>
          <w:rFonts w:ascii="Calibri" w:hAnsi="Calibri" w:cs="Calibri"/>
          <w:i/>
          <w:iCs/>
          <w:lang w:val="en-GB"/>
        </w:rPr>
        <w:t>Chemosphere</w:t>
      </w:r>
      <w:r w:rsidRPr="000D4614">
        <w:rPr>
          <w:rFonts w:ascii="Calibri" w:hAnsi="Calibri" w:cs="Calibri"/>
          <w:lang w:val="en-GB"/>
        </w:rPr>
        <w:t xml:space="preserve"> </w:t>
      </w:r>
      <w:r w:rsidRPr="000D4614">
        <w:rPr>
          <w:rFonts w:ascii="Calibri" w:hAnsi="Calibri" w:cs="Calibri"/>
          <w:b/>
          <w:bCs/>
          <w:lang w:val="en-GB"/>
        </w:rPr>
        <w:t>112</w:t>
      </w:r>
      <w:r w:rsidRPr="000D4614">
        <w:rPr>
          <w:rFonts w:ascii="Calibri" w:hAnsi="Calibri" w:cs="Calibri"/>
          <w:lang w:val="en-GB"/>
        </w:rPr>
        <w:t>, 185–193 (2014).</w:t>
      </w:r>
    </w:p>
    <w:p w14:paraId="331BB144" w14:textId="77777777" w:rsidR="000D4614" w:rsidRPr="000D4614" w:rsidRDefault="000D4614" w:rsidP="000D4614">
      <w:pPr>
        <w:pStyle w:val="Bibliographie"/>
        <w:spacing w:line="240" w:lineRule="auto"/>
        <w:rPr>
          <w:rFonts w:ascii="Calibri" w:hAnsi="Calibri" w:cs="Calibri"/>
          <w:lang w:val="en-GB"/>
        </w:rPr>
      </w:pPr>
      <w:r w:rsidRPr="000D4614">
        <w:rPr>
          <w:rFonts w:ascii="Calibri" w:hAnsi="Calibri" w:cs="Calibri"/>
          <w:lang w:val="en-GB"/>
        </w:rPr>
        <w:t>6.</w:t>
      </w:r>
      <w:r w:rsidRPr="000D4614">
        <w:rPr>
          <w:rFonts w:ascii="Calibri" w:hAnsi="Calibri" w:cs="Calibri"/>
          <w:lang w:val="en-GB"/>
        </w:rPr>
        <w:tab/>
        <w:t xml:space="preserve">Kergoat, L. </w:t>
      </w:r>
      <w:r w:rsidRPr="000D4614">
        <w:rPr>
          <w:rFonts w:ascii="Calibri" w:hAnsi="Calibri" w:cs="Calibri"/>
          <w:i/>
          <w:iCs/>
          <w:lang w:val="en-GB"/>
        </w:rPr>
        <w:t>et al.</w:t>
      </w:r>
      <w:r w:rsidRPr="000D4614">
        <w:rPr>
          <w:rFonts w:ascii="Calibri" w:hAnsi="Calibri" w:cs="Calibri"/>
          <w:lang w:val="en-GB"/>
        </w:rPr>
        <w:t xml:space="preserve"> Environmental Concentrations of Sulfonamides Can Alter Bacterial Structure and Induce Diatom Deformities in Freshwater Biofilm Communities. </w:t>
      </w:r>
      <w:r w:rsidRPr="000D4614">
        <w:rPr>
          <w:rFonts w:ascii="Calibri" w:hAnsi="Calibri" w:cs="Calibri"/>
          <w:i/>
          <w:iCs/>
          <w:lang w:val="en-GB"/>
        </w:rPr>
        <w:t>Front. Microbiol.</w:t>
      </w:r>
      <w:r w:rsidRPr="000D4614">
        <w:rPr>
          <w:rFonts w:ascii="Calibri" w:hAnsi="Calibri" w:cs="Calibri"/>
          <w:lang w:val="en-GB"/>
        </w:rPr>
        <w:t xml:space="preserve"> </w:t>
      </w:r>
      <w:r w:rsidRPr="000D4614">
        <w:rPr>
          <w:rFonts w:ascii="Calibri" w:hAnsi="Calibri" w:cs="Calibri"/>
          <w:b/>
          <w:bCs/>
          <w:lang w:val="en-GB"/>
        </w:rPr>
        <w:t>12</w:t>
      </w:r>
      <w:r w:rsidRPr="000D4614">
        <w:rPr>
          <w:rFonts w:ascii="Calibri" w:hAnsi="Calibri" w:cs="Calibri"/>
          <w:lang w:val="en-GB"/>
        </w:rPr>
        <w:t>, 643719 (2021).</w:t>
      </w:r>
    </w:p>
    <w:p w14:paraId="486C4795" w14:textId="77777777" w:rsidR="000D4614" w:rsidRPr="000D4614" w:rsidRDefault="000D4614" w:rsidP="000D4614">
      <w:pPr>
        <w:pStyle w:val="Bibliographie"/>
        <w:spacing w:line="240" w:lineRule="auto"/>
        <w:rPr>
          <w:rFonts w:ascii="Calibri" w:hAnsi="Calibri" w:cs="Calibri"/>
          <w:lang w:val="en-GB"/>
        </w:rPr>
      </w:pPr>
      <w:r w:rsidRPr="000D4614">
        <w:rPr>
          <w:rFonts w:ascii="Calibri" w:hAnsi="Calibri" w:cs="Calibri"/>
          <w:lang w:val="en-GB"/>
        </w:rPr>
        <w:t>7.</w:t>
      </w:r>
      <w:r w:rsidRPr="000D4614">
        <w:rPr>
          <w:rFonts w:ascii="Calibri" w:hAnsi="Calibri" w:cs="Calibri"/>
          <w:lang w:val="en-GB"/>
        </w:rPr>
        <w:tab/>
        <w:t xml:space="preserve">Rosi-Marshall, E. J. </w:t>
      </w:r>
      <w:r w:rsidRPr="000D4614">
        <w:rPr>
          <w:rFonts w:ascii="Calibri" w:hAnsi="Calibri" w:cs="Calibri"/>
          <w:i/>
          <w:iCs/>
          <w:lang w:val="en-GB"/>
        </w:rPr>
        <w:t>et al.</w:t>
      </w:r>
      <w:r w:rsidRPr="000D4614">
        <w:rPr>
          <w:rFonts w:ascii="Calibri" w:hAnsi="Calibri" w:cs="Calibri"/>
          <w:lang w:val="en-GB"/>
        </w:rPr>
        <w:t xml:space="preserve"> Pharmaceuticals suppress algal growth and microbial respiration and alter bacterial communities in stream biofilms. </w:t>
      </w:r>
      <w:r w:rsidRPr="000D4614">
        <w:rPr>
          <w:rFonts w:ascii="Calibri" w:hAnsi="Calibri" w:cs="Calibri"/>
          <w:i/>
          <w:iCs/>
          <w:lang w:val="en-GB"/>
        </w:rPr>
        <w:t>Ecol. Appl. Publ. Ecol. Soc. Am.</w:t>
      </w:r>
      <w:r w:rsidRPr="000D4614">
        <w:rPr>
          <w:rFonts w:ascii="Calibri" w:hAnsi="Calibri" w:cs="Calibri"/>
          <w:lang w:val="en-GB"/>
        </w:rPr>
        <w:t xml:space="preserve"> </w:t>
      </w:r>
      <w:r w:rsidRPr="000D4614">
        <w:rPr>
          <w:rFonts w:ascii="Calibri" w:hAnsi="Calibri" w:cs="Calibri"/>
          <w:b/>
          <w:bCs/>
          <w:lang w:val="en-GB"/>
        </w:rPr>
        <w:t>23</w:t>
      </w:r>
      <w:r w:rsidRPr="000D4614">
        <w:rPr>
          <w:rFonts w:ascii="Calibri" w:hAnsi="Calibri" w:cs="Calibri"/>
          <w:lang w:val="en-GB"/>
        </w:rPr>
        <w:t>, 583–593 (2013).</w:t>
      </w:r>
    </w:p>
    <w:p w14:paraId="7D02FCB6" w14:textId="77777777" w:rsidR="000D4614" w:rsidRPr="000D4614" w:rsidRDefault="000D4614" w:rsidP="000D4614">
      <w:pPr>
        <w:pStyle w:val="Bibliographie"/>
        <w:spacing w:line="240" w:lineRule="auto"/>
        <w:rPr>
          <w:rFonts w:ascii="Calibri" w:hAnsi="Calibri" w:cs="Calibri"/>
          <w:lang w:val="en-GB"/>
        </w:rPr>
      </w:pPr>
      <w:r w:rsidRPr="000D4614">
        <w:rPr>
          <w:rFonts w:ascii="Calibri" w:hAnsi="Calibri" w:cs="Calibri"/>
          <w:lang w:val="en-GB"/>
        </w:rPr>
        <w:t>8.</w:t>
      </w:r>
      <w:r w:rsidRPr="000D4614">
        <w:rPr>
          <w:rFonts w:ascii="Calibri" w:hAnsi="Calibri" w:cs="Calibri"/>
          <w:lang w:val="en-GB"/>
        </w:rPr>
        <w:tab/>
        <w:t xml:space="preserve">Desiante, W. L., Minas, N. S. &amp; Fenner, K. Micropollutant biotransformation and bioaccumulation in natural stream biofilms. </w:t>
      </w:r>
      <w:r w:rsidRPr="000D4614">
        <w:rPr>
          <w:rFonts w:ascii="Calibri" w:hAnsi="Calibri" w:cs="Calibri"/>
          <w:i/>
          <w:iCs/>
          <w:lang w:val="en-GB"/>
        </w:rPr>
        <w:t>Water Res.</w:t>
      </w:r>
      <w:r w:rsidRPr="000D4614">
        <w:rPr>
          <w:rFonts w:ascii="Calibri" w:hAnsi="Calibri" w:cs="Calibri"/>
          <w:lang w:val="en-GB"/>
        </w:rPr>
        <w:t xml:space="preserve"> </w:t>
      </w:r>
      <w:r w:rsidRPr="000D4614">
        <w:rPr>
          <w:rFonts w:ascii="Calibri" w:hAnsi="Calibri" w:cs="Calibri"/>
          <w:b/>
          <w:bCs/>
          <w:lang w:val="en-GB"/>
        </w:rPr>
        <w:t>193</w:t>
      </w:r>
      <w:r w:rsidRPr="000D4614">
        <w:rPr>
          <w:rFonts w:ascii="Calibri" w:hAnsi="Calibri" w:cs="Calibri"/>
          <w:lang w:val="en-GB"/>
        </w:rPr>
        <w:t>, 116846 (2021).</w:t>
      </w:r>
    </w:p>
    <w:p w14:paraId="76A5CD4C" w14:textId="77777777" w:rsidR="000D4614" w:rsidRPr="000D4614" w:rsidRDefault="000D4614" w:rsidP="000D4614">
      <w:pPr>
        <w:pStyle w:val="Bibliographie"/>
        <w:spacing w:line="240" w:lineRule="auto"/>
        <w:rPr>
          <w:rFonts w:ascii="Calibri" w:hAnsi="Calibri" w:cs="Calibri"/>
        </w:rPr>
      </w:pPr>
      <w:r w:rsidRPr="000D4614">
        <w:rPr>
          <w:rFonts w:ascii="Calibri" w:hAnsi="Calibri" w:cs="Calibri"/>
          <w:lang w:val="en-GB"/>
        </w:rPr>
        <w:t>9.</w:t>
      </w:r>
      <w:r w:rsidRPr="000D4614">
        <w:rPr>
          <w:rFonts w:ascii="Calibri" w:hAnsi="Calibri" w:cs="Calibri"/>
          <w:lang w:val="en-GB"/>
        </w:rPr>
        <w:tab/>
        <w:t xml:space="preserve">Tlili, A. </w:t>
      </w:r>
      <w:r w:rsidRPr="000D4614">
        <w:rPr>
          <w:rFonts w:ascii="Calibri" w:hAnsi="Calibri" w:cs="Calibri"/>
          <w:i/>
          <w:iCs/>
          <w:lang w:val="en-GB"/>
        </w:rPr>
        <w:t>et al.</w:t>
      </w:r>
      <w:r w:rsidRPr="000D4614">
        <w:rPr>
          <w:rFonts w:ascii="Calibri" w:hAnsi="Calibri" w:cs="Calibri"/>
          <w:lang w:val="en-GB"/>
        </w:rPr>
        <w:t xml:space="preserve"> Pollution-induced community tolerance (PICT): towards an ecologically relevant risk assessment of chemicals in aquatic systems. </w:t>
      </w:r>
      <w:r w:rsidRPr="000D4614">
        <w:rPr>
          <w:rFonts w:ascii="Calibri" w:hAnsi="Calibri" w:cs="Calibri"/>
          <w:i/>
          <w:iCs/>
        </w:rPr>
        <w:t>Freshw. Biol.</w:t>
      </w:r>
      <w:r w:rsidRPr="000D4614">
        <w:rPr>
          <w:rFonts w:ascii="Calibri" w:hAnsi="Calibri" w:cs="Calibri"/>
        </w:rPr>
        <w:t xml:space="preserve"> </w:t>
      </w:r>
      <w:r w:rsidRPr="000D4614">
        <w:rPr>
          <w:rFonts w:ascii="Calibri" w:hAnsi="Calibri" w:cs="Calibri"/>
          <w:b/>
          <w:bCs/>
        </w:rPr>
        <w:t>61</w:t>
      </w:r>
      <w:r w:rsidRPr="000D4614">
        <w:rPr>
          <w:rFonts w:ascii="Calibri" w:hAnsi="Calibri" w:cs="Calibri"/>
        </w:rPr>
        <w:t>, 2141–2151 (2016).</w:t>
      </w:r>
    </w:p>
    <w:p w14:paraId="63BA541F" w14:textId="51C1CE20" w:rsidR="00310CD7" w:rsidRPr="00A2676E" w:rsidRDefault="00A2676E" w:rsidP="001F32AE">
      <w:pPr>
        <w:spacing w:line="240" w:lineRule="auto"/>
        <w:rPr>
          <w:lang w:val="en-GB"/>
        </w:rPr>
      </w:pPr>
      <w:r>
        <w:fldChar w:fldCharType="end"/>
      </w:r>
    </w:p>
    <w:sectPr w:rsidR="00310CD7" w:rsidRPr="00A2676E">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B1C5E6" w16cid:durableId="2947D510"/>
  <w16cid:commentId w16cid:paraId="5B68C724" w16cid:durableId="2947D511"/>
  <w16cid:commentId w16cid:paraId="29D13086" w16cid:durableId="291DA8D4"/>
  <w16cid:commentId w16cid:paraId="593F5FF1" w16cid:durableId="291DA8D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45138"/>
    <w:multiLevelType w:val="hybridMultilevel"/>
    <w:tmpl w:val="4A925546"/>
    <w:lvl w:ilvl="0" w:tplc="AF3E861C">
      <w:start w:val="2"/>
      <w:numFmt w:val="bullet"/>
      <w:lvlText w:val="-"/>
      <w:lvlJc w:val="left"/>
      <w:pPr>
        <w:ind w:left="2484" w:hanging="360"/>
      </w:pPr>
      <w:rPr>
        <w:rFonts w:ascii="Calibri" w:eastAsiaTheme="minorHAnsi" w:hAnsi="Calibri" w:cstheme="minorBid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 w15:restartNumberingAfterBreak="0">
    <w:nsid w:val="4CD82FE7"/>
    <w:multiLevelType w:val="hybridMultilevel"/>
    <w:tmpl w:val="4BD6E0A6"/>
    <w:lvl w:ilvl="0" w:tplc="B3A8CD36">
      <w:start w:val="2"/>
      <w:numFmt w:val="bullet"/>
      <w:lvlText w:val="-"/>
      <w:lvlJc w:val="left"/>
      <w:pPr>
        <w:ind w:left="2484" w:hanging="360"/>
      </w:pPr>
      <w:rPr>
        <w:rFonts w:ascii="Calibri" w:eastAsiaTheme="minorHAnsi" w:hAnsi="Calibri" w:cstheme="minorBidi"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CD7"/>
    <w:rsid w:val="00035220"/>
    <w:rsid w:val="000B0C71"/>
    <w:rsid w:val="000D4614"/>
    <w:rsid w:val="001168D6"/>
    <w:rsid w:val="0011777B"/>
    <w:rsid w:val="001B5625"/>
    <w:rsid w:val="001F32AE"/>
    <w:rsid w:val="001F364E"/>
    <w:rsid w:val="00282F36"/>
    <w:rsid w:val="00310CD7"/>
    <w:rsid w:val="0031634D"/>
    <w:rsid w:val="003B652C"/>
    <w:rsid w:val="003F53A0"/>
    <w:rsid w:val="00403F91"/>
    <w:rsid w:val="0042249F"/>
    <w:rsid w:val="0058339E"/>
    <w:rsid w:val="00584733"/>
    <w:rsid w:val="005B31ED"/>
    <w:rsid w:val="00734A46"/>
    <w:rsid w:val="0077088A"/>
    <w:rsid w:val="007A56DC"/>
    <w:rsid w:val="007B2824"/>
    <w:rsid w:val="00851A20"/>
    <w:rsid w:val="0096318B"/>
    <w:rsid w:val="00A2676E"/>
    <w:rsid w:val="00A41459"/>
    <w:rsid w:val="00A73B07"/>
    <w:rsid w:val="00BF5F17"/>
    <w:rsid w:val="00D04564"/>
    <w:rsid w:val="00D21B37"/>
    <w:rsid w:val="00D922A4"/>
    <w:rsid w:val="00E343C7"/>
    <w:rsid w:val="00ED5B92"/>
    <w:rsid w:val="00EF16FC"/>
    <w:rsid w:val="00F2696D"/>
    <w:rsid w:val="00F70B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BDFEF"/>
  <w15:chartTrackingRefBased/>
  <w15:docId w15:val="{BE4DBB6B-7510-4CD5-9DE0-B9771AE1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10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77088A"/>
    <w:pPr>
      <w:spacing w:after="200" w:line="240" w:lineRule="auto"/>
    </w:pPr>
    <w:rPr>
      <w:i/>
      <w:iCs/>
      <w:color w:val="44546A" w:themeColor="text2"/>
      <w:sz w:val="18"/>
      <w:szCs w:val="18"/>
    </w:rPr>
  </w:style>
  <w:style w:type="paragraph" w:styleId="Bibliographie">
    <w:name w:val="Bibliography"/>
    <w:basedOn w:val="Normal"/>
    <w:next w:val="Normal"/>
    <w:uiPriority w:val="37"/>
    <w:unhideWhenUsed/>
    <w:rsid w:val="00A2676E"/>
    <w:pPr>
      <w:tabs>
        <w:tab w:val="left" w:pos="264"/>
      </w:tabs>
      <w:spacing w:after="0" w:line="480" w:lineRule="auto"/>
      <w:ind w:left="264" w:hanging="264"/>
    </w:pPr>
  </w:style>
  <w:style w:type="character" w:styleId="Marquedecommentaire">
    <w:name w:val="annotation reference"/>
    <w:basedOn w:val="Policepardfaut"/>
    <w:uiPriority w:val="99"/>
    <w:semiHidden/>
    <w:unhideWhenUsed/>
    <w:rsid w:val="00D922A4"/>
    <w:rPr>
      <w:sz w:val="16"/>
      <w:szCs w:val="16"/>
    </w:rPr>
  </w:style>
  <w:style w:type="paragraph" w:styleId="Commentaire">
    <w:name w:val="annotation text"/>
    <w:basedOn w:val="Normal"/>
    <w:link w:val="CommentaireCar"/>
    <w:uiPriority w:val="99"/>
    <w:semiHidden/>
    <w:unhideWhenUsed/>
    <w:rsid w:val="00D922A4"/>
    <w:pPr>
      <w:spacing w:line="240" w:lineRule="auto"/>
    </w:pPr>
    <w:rPr>
      <w:sz w:val="20"/>
      <w:szCs w:val="20"/>
    </w:rPr>
  </w:style>
  <w:style w:type="character" w:customStyle="1" w:styleId="CommentaireCar">
    <w:name w:val="Commentaire Car"/>
    <w:basedOn w:val="Policepardfaut"/>
    <w:link w:val="Commentaire"/>
    <w:uiPriority w:val="99"/>
    <w:semiHidden/>
    <w:rsid w:val="00D922A4"/>
    <w:rPr>
      <w:sz w:val="20"/>
      <w:szCs w:val="20"/>
    </w:rPr>
  </w:style>
  <w:style w:type="paragraph" w:styleId="Objetducommentaire">
    <w:name w:val="annotation subject"/>
    <w:basedOn w:val="Commentaire"/>
    <w:next w:val="Commentaire"/>
    <w:link w:val="ObjetducommentaireCar"/>
    <w:uiPriority w:val="99"/>
    <w:semiHidden/>
    <w:unhideWhenUsed/>
    <w:rsid w:val="00D922A4"/>
    <w:rPr>
      <w:b/>
      <w:bCs/>
    </w:rPr>
  </w:style>
  <w:style w:type="character" w:customStyle="1" w:styleId="ObjetducommentaireCar">
    <w:name w:val="Objet du commentaire Car"/>
    <w:basedOn w:val="CommentaireCar"/>
    <w:link w:val="Objetducommentaire"/>
    <w:uiPriority w:val="99"/>
    <w:semiHidden/>
    <w:rsid w:val="00D922A4"/>
    <w:rPr>
      <w:b/>
      <w:bCs/>
      <w:sz w:val="20"/>
      <w:szCs w:val="20"/>
    </w:rPr>
  </w:style>
  <w:style w:type="paragraph" w:styleId="Textedebulles">
    <w:name w:val="Balloon Text"/>
    <w:basedOn w:val="Normal"/>
    <w:link w:val="TextedebullesCar"/>
    <w:uiPriority w:val="99"/>
    <w:semiHidden/>
    <w:unhideWhenUsed/>
    <w:rsid w:val="00D922A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22A4"/>
    <w:rPr>
      <w:rFonts w:ascii="Segoe UI" w:hAnsi="Segoe UI" w:cs="Segoe UI"/>
      <w:sz w:val="18"/>
      <w:szCs w:val="18"/>
    </w:rPr>
  </w:style>
  <w:style w:type="paragraph" w:styleId="Paragraphedeliste">
    <w:name w:val="List Paragraph"/>
    <w:basedOn w:val="Normal"/>
    <w:uiPriority w:val="34"/>
    <w:qFormat/>
    <w:rsid w:val="009631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5128</Words>
  <Characters>29233</Characters>
  <Application>Microsoft Office Word</Application>
  <DocSecurity>0</DocSecurity>
  <Lines>243</Lines>
  <Paragraphs>68</Paragraphs>
  <ScaleCrop>false</ScaleCrop>
  <HeadingPairs>
    <vt:vector size="2" baseType="variant">
      <vt:variant>
        <vt:lpstr>Titre</vt:lpstr>
      </vt:variant>
      <vt:variant>
        <vt:i4>1</vt:i4>
      </vt:variant>
    </vt:vector>
  </HeadingPairs>
  <TitlesOfParts>
    <vt:vector size="1" baseType="lpstr">
      <vt:lpstr/>
    </vt:vector>
  </TitlesOfParts>
  <Company>IRSTEA</Company>
  <LinksUpToDate>false</LinksUpToDate>
  <CharactersWithSpaces>34293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Rogue</dc:creator>
  <cp:keywords/>
  <dc:description/>
  <cp:lastModifiedBy>Cecile Miege</cp:lastModifiedBy>
  <cp:revision>2</cp:revision>
  <dcterms:created xsi:type="dcterms:W3CDTF">2024-01-09T14:14:00Z</dcterms:created>
  <dcterms:modified xsi:type="dcterms:W3CDTF">2024-01-09T14:14:00Z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id="iViLjCf1"/&gt;&lt;style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